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6404103" w:rsidR="00AF3239" w:rsidRPr="00AF3239" w:rsidRDefault="002111BC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AF3239"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="00AF3239"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="00AF3239"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="00AF3239"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55F36595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BA12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ъ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65D789FD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дейностите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включени в предмета на поръчката (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относителна тежест 60 %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2FDD3879" w14:textId="1931AAC6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CB366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поръчката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75212747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 = ТП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60%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+ ФП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09713859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 xml:space="preserve">подходът и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>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, по ко</w:t>
      </w:r>
      <w:r w:rsidR="00CB36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упражняване на строителен надзор и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 xml:space="preserve">изпълняване на </w:t>
      </w:r>
      <w:bookmarkStart w:id="0" w:name="_Hlk18929235"/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>функциите на Инженер по ФИДИК</w:t>
      </w:r>
      <w:bookmarkEnd w:id="0"/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F3CFB8" w14:textId="2EBD9952" w:rsidR="00BC1E61" w:rsidRDefault="00BC1E61" w:rsidP="003875C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Включването на предложената от участника организация на работа 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дейностите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>от предмета на поръчката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качественото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управление на човешките ресурси, ангажирани в процес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>дейностите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 xml:space="preserve">упражняване на строителен надзор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на съответния обект </w:t>
      </w:r>
      <w:r w:rsidR="00650F54" w:rsidRPr="00650F54">
        <w:rPr>
          <w:rFonts w:ascii="Times New Roman" w:eastAsia="Times New Roman" w:hAnsi="Times New Roman" w:cs="Times New Roman"/>
          <w:sz w:val="24"/>
          <w:szCs w:val="24"/>
        </w:rPr>
        <w:t>и изпълняване на функциите на Инженер по ФИДИК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ще осъществяват</w:t>
      </w:r>
      <w:r w:rsidR="00750AFE">
        <w:rPr>
          <w:rFonts w:ascii="Times New Roman" w:eastAsia="Times New Roman" w:hAnsi="Times New Roman" w:cs="Times New Roman"/>
          <w:sz w:val="24"/>
          <w:szCs w:val="24"/>
        </w:rPr>
        <w:t xml:space="preserve"> адекватен вътрешен контрол, кой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то ще осигури качествено и срочно завършване 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 xml:space="preserve">както на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>, включена в предмета на настоящата поръчка, така и на дейностите по изпълнение на договора за строителство на обекта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0F54">
        <w:rPr>
          <w:rFonts w:ascii="Times New Roman" w:eastAsia="Times New Roman" w:hAnsi="Times New Roman" w:cs="Times New Roman"/>
          <w:sz w:val="24"/>
          <w:szCs w:val="24"/>
        </w:rPr>
        <w:t xml:space="preserve">Предложената организация </w:t>
      </w:r>
      <w:r w:rsidR="007B39EE">
        <w:rPr>
          <w:rFonts w:ascii="Times New Roman" w:eastAsia="Times New Roman" w:hAnsi="Times New Roman" w:cs="Times New Roman"/>
          <w:sz w:val="24"/>
          <w:szCs w:val="24"/>
        </w:rPr>
        <w:t xml:space="preserve">на работа 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подлежи на оценка съгласно утвърдената от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ъзложителя методика и е обвързваща за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 по отношение на изложените в </w:t>
      </w:r>
      <w:r w:rsidR="003875C0">
        <w:rPr>
          <w:rFonts w:ascii="Times New Roman" w:eastAsia="Times New Roman" w:hAnsi="Times New Roman" w:cs="Times New Roman"/>
          <w:sz w:val="24"/>
          <w:szCs w:val="24"/>
        </w:rPr>
        <w:t>предложението</w:t>
      </w:r>
      <w:r w:rsidR="007B39EE" w:rsidRPr="007B39EE">
        <w:rPr>
          <w:rFonts w:ascii="Times New Roman" w:eastAsia="Times New Roman" w:hAnsi="Times New Roman" w:cs="Times New Roman"/>
          <w:sz w:val="24"/>
          <w:szCs w:val="24"/>
        </w:rPr>
        <w:t xml:space="preserve"> обстоятелства. </w:t>
      </w:r>
    </w:p>
    <w:p w14:paraId="4F828A27" w14:textId="1893BE5E" w:rsidR="00D906D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Преди да пристъпи към оценяване на</w:t>
      </w:r>
      <w:r w:rsidR="003875C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предложенията по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3875C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техническия 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показател, комисията проверява дали същите са подготвени и представени в съответствие с изискванията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възложителя</w:t>
      </w:r>
      <w:r w:rsidRPr="00D906D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  <w:r w:rsidRPr="00D90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EB4A0" w14:textId="5AEC5703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Предложението на участника за изпълнение на поръчката следва да съдържа като минимум:</w:t>
      </w:r>
    </w:p>
    <w:p w14:paraId="6E3D890D" w14:textId="77777777" w:rsidR="00B670F8" w:rsidRDefault="00D9033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редставяне на виждането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 за подхода на изпълнение на дейностите от техническата спецификация и договора за строителен надзор и начините, по които ще бъдат упражнявани функциите на Инженер по ФИДИК, с оглед постигане на заложените цели и резултати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670F8" w:rsidRPr="00B670F8">
        <w:rPr>
          <w:rFonts w:ascii="Times New Roman" w:eastAsia="Times New Roman" w:hAnsi="Times New Roman" w:cs="Times New Roman"/>
          <w:sz w:val="24"/>
          <w:szCs w:val="24"/>
        </w:rPr>
        <w:t xml:space="preserve">В тази част участникът следва да опише вижданията </w:t>
      </w:r>
      <w:r w:rsidR="00B670F8">
        <w:rPr>
          <w:rFonts w:ascii="Times New Roman" w:eastAsia="Times New Roman" w:hAnsi="Times New Roman" w:cs="Times New Roman"/>
          <w:sz w:val="24"/>
          <w:szCs w:val="24"/>
        </w:rPr>
        <w:t>и предложенията си относно:</w:t>
      </w:r>
    </w:p>
    <w:p w14:paraId="5B74B708" w14:textId="3A9CAB2F" w:rsidR="00B670F8" w:rsidRDefault="00B670F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9013944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сновните принципи и правила, които предвижда да приложи по отношение на цялостния подход за изпълнение на поръчката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5EC28E" w14:textId="4FCB775E" w:rsidR="00A354E3" w:rsidRPr="00B670F8" w:rsidRDefault="00B670F8" w:rsidP="00A35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Подхода и начина на изпълнение на 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включени в предмета на поръчката, 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съобразно техническата спецификация и договора за строителен надзор и упражняване функциите на Инженер по ФИДИК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зложението следва да включва нормативно и договорно определените задължения, включително и допълнителни такива, произтичащи от специфичните и общи условия на договора за строителство при договорните условия на ФИДИК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. За всяка една от дейностите участникът следва да посочи действията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които ще извърши по повод на изпълнението на същата. 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>Начинът на изпълнение на дейностите следва да е приложим за конкретни</w:t>
      </w:r>
      <w:r w:rsidR="006A6CC9">
        <w:rPr>
          <w:rFonts w:ascii="Times New Roman" w:eastAsia="Times New Roman" w:hAnsi="Times New Roman" w:cs="Times New Roman"/>
          <w:sz w:val="24"/>
          <w:szCs w:val="24"/>
        </w:rPr>
        <w:t>я строеж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 в предмета на поръчката предвид техните характеристики и особености, да е съобразен с разпоредбите на приложимите действащи нормативни актове и изискванията на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>ъзложителя, съдържащи се в Техническ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ата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 спецификаци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 и останалите части на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 xml:space="preserve">окументацията за обществената поръчка, и да осигурява постигане на заложените цели и очакваните резултати от изпълнението на поръчката. При описанието на дейностите по упражняване на строителен надзор следва да бъде отчетен задължителният обхват, регламентиран 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D1B26" w:rsidRPr="006D1B26">
        <w:rPr>
          <w:rFonts w:ascii="Times New Roman" w:eastAsia="Times New Roman" w:hAnsi="Times New Roman" w:cs="Times New Roman"/>
          <w:sz w:val="24"/>
          <w:szCs w:val="24"/>
        </w:rPr>
        <w:t>договорните условия на ФИДИК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1B26" w:rsidRPr="006D1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3" w:rsidRPr="00A354E3">
        <w:rPr>
          <w:rFonts w:ascii="Times New Roman" w:eastAsia="Times New Roman" w:hAnsi="Times New Roman" w:cs="Times New Roman"/>
          <w:sz w:val="24"/>
          <w:szCs w:val="24"/>
        </w:rPr>
        <w:t>ЗУТ, подзаконовите нормативни актове по прилагането му и останалите относими нормативни документи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частникът трябва да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посочи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съответните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 xml:space="preserve">относими 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действащи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нормативни актове, които ще прилага, ка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то представи и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конкретни мерки за контрол, свързани със спазването им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 (з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а всяка мярка следва да се посочат конкретно ангажирани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я/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те експерт/и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 xml:space="preserve"> и какъв е </w:t>
      </w:r>
      <w:r w:rsidR="00A354E3" w:rsidRPr="00B670F8">
        <w:rPr>
          <w:rFonts w:ascii="Times New Roman" w:eastAsia="Times New Roman" w:hAnsi="Times New Roman" w:cs="Times New Roman"/>
          <w:sz w:val="24"/>
          <w:szCs w:val="24"/>
        </w:rPr>
        <w:t>очакваният ефект от приложението на мярка</w:t>
      </w:r>
      <w:r w:rsidR="00A354E3">
        <w:rPr>
          <w:rFonts w:ascii="Times New Roman" w:eastAsia="Times New Roman" w:hAnsi="Times New Roman" w:cs="Times New Roman"/>
          <w:sz w:val="24"/>
          <w:szCs w:val="24"/>
        </w:rPr>
        <w:t>та);</w:t>
      </w:r>
    </w:p>
    <w:p w14:paraId="018CCB81" w14:textId="4B64EBFE" w:rsidR="00B670F8" w:rsidRPr="00B670F8" w:rsidRDefault="00B670F8" w:rsidP="00B670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>писание на вътрешн</w:t>
      </w:r>
      <w:r w:rsidR="006D1B26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разпределението на </w:t>
      </w:r>
      <w:r w:rsidR="00BC5CC9" w:rsidRPr="00B670F8">
        <w:rPr>
          <w:rFonts w:ascii="Times New Roman" w:eastAsia="Times New Roman" w:hAnsi="Times New Roman" w:cs="Times New Roman"/>
          <w:sz w:val="24"/>
          <w:szCs w:val="24"/>
        </w:rPr>
        <w:t>задачите и отговорностите на отделните експерти от ръководния състав за изпълнение на поръчката, съгласно планираните дейности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8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A28AF" w:rsidRPr="007A28AF">
        <w:t xml:space="preserve"> 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В тази част участникът следва да посочи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по длъжности 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>всички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 xml:space="preserve">ключови 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експерти 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от екипа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за изпълнение на предвидените дейности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предходн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ата точка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, като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>осоч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28AF" w:rsidRPr="007A28AF">
        <w:rPr>
          <w:rFonts w:ascii="Times New Roman" w:eastAsia="Times New Roman" w:hAnsi="Times New Roman" w:cs="Times New Roman"/>
          <w:sz w:val="24"/>
          <w:szCs w:val="24"/>
        </w:rPr>
        <w:t xml:space="preserve"> конкретните им задължения, които същите ще изпълняват. Изложението следва да покрива предвидените за изпълнение дейности. Участникът следва да предложи и система за взаимозаменяемост и обезпечаване на присъствието на експертите във всички необходими места и във всички необходими моменти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. В предложението трябва да е налице посочване на начините за осъществяване на вътрешна координация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между отделните експерти, к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ато описанието трябва да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дава информация за наличие на адекватна и бърза комуникация, като под такава следва да се разбира комуникация, недопускаща неизпълнение или забавяне на конкретни задължения на експертите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FEEFCE7" w14:textId="04EBE985" w:rsidR="003C5878" w:rsidRDefault="00B670F8" w:rsidP="003C5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70F8">
        <w:rPr>
          <w:rFonts w:ascii="Times New Roman" w:eastAsia="Times New Roman" w:hAnsi="Times New Roman" w:cs="Times New Roman"/>
          <w:sz w:val="24"/>
          <w:szCs w:val="24"/>
        </w:rPr>
        <w:t xml:space="preserve">етодите на координация и комуникация с възложителя и изпълнителя по договора за 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C5CC9" w:rsidRPr="00BC5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 xml:space="preserve">Участникът следва да </w:t>
      </w:r>
      <w:r w:rsidR="00BC5CC9">
        <w:rPr>
          <w:rFonts w:ascii="Times New Roman" w:eastAsia="Times New Roman" w:hAnsi="Times New Roman" w:cs="Times New Roman"/>
          <w:sz w:val="24"/>
          <w:szCs w:val="24"/>
        </w:rPr>
        <w:t xml:space="preserve">представи начините, по които ще се осъществява координацията и комуникацията с </w:t>
      </w:r>
      <w:r w:rsidR="00BC5CC9" w:rsidRPr="007A28AF">
        <w:rPr>
          <w:rFonts w:ascii="Times New Roman" w:eastAsia="Times New Roman" w:hAnsi="Times New Roman" w:cs="Times New Roman"/>
          <w:sz w:val="24"/>
          <w:szCs w:val="24"/>
        </w:rPr>
        <w:t>възложителя и останалите участници в строителния процес</w:t>
      </w:r>
      <w:r w:rsidR="003C5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AEAB8" w14:textId="42DC13C3" w:rsidR="00D906D0" w:rsidRPr="003C5878" w:rsidRDefault="002B699C" w:rsidP="003C5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В случай, че предложението на даден участник не включва някой от посочените по-горе елементи, същият се отстранява от участие и офертата му не се допуска до по-нататъшно участие в процедурата. </w:t>
      </w:r>
    </w:p>
    <w:p w14:paraId="7A6E422F" w14:textId="77777777" w:rsidR="00A16B96" w:rsidRDefault="007C522B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минималните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изисквания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Техническия показател</w:t>
      </w:r>
      <w:r w:rsidR="00A16B96">
        <w:rPr>
          <w:rFonts w:ascii="Times New Roman" w:eastAsia="Times New Roman" w:hAnsi="Times New Roman" w:cs="Times New Roman"/>
          <w:sz w:val="24"/>
          <w:szCs w:val="24"/>
        </w:rPr>
        <w:t>, относим към качествените аспекти на предложението,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A16B96">
        <w:rPr>
          <w:rFonts w:ascii="Times New Roman" w:eastAsia="Times New Roman" w:hAnsi="Times New Roman" w:cs="Times New Roman"/>
          <w:sz w:val="24"/>
          <w:szCs w:val="24"/>
        </w:rPr>
        <w:t xml:space="preserve"> следния начин:</w:t>
      </w:r>
    </w:p>
    <w:p w14:paraId="27E961A5" w14:textId="5BC68628" w:rsidR="00A16B96" w:rsidRDefault="00A16B96" w:rsidP="00A16B9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Предложение за изпълнението на поръчката, което отговаря на предварително обявените условия на възложителя, съдържа задължително изискуемите елементи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към съдържанието</w:t>
      </w:r>
      <w:r>
        <w:rPr>
          <w:rFonts w:ascii="Times New Roman" w:eastAsia="Times New Roman" w:hAnsi="Times New Roman" w:cs="Times New Roman"/>
          <w:sz w:val="24"/>
          <w:szCs w:val="24"/>
        </w:rPr>
        <w:t>, посочени по-горе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, и в своята последователност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гарантира навременното и спрямо минималните изисквания на техническата спецификация постигане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цели и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резултати, 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ще бъде оцене</w:t>
      </w:r>
      <w:r w:rsidR="00232B9F">
        <w:rPr>
          <w:rFonts w:ascii="Times New Roman" w:eastAsia="Times New Roman" w:hAnsi="Times New Roman" w:cs="Times New Roman"/>
          <w:b/>
          <w:bCs/>
          <w:sz w:val="24"/>
          <w:szCs w:val="24"/>
        </w:rPr>
        <w:t>но с 4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точки по показателя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D9151" w14:textId="30574A35" w:rsidR="00A16B96" w:rsidRPr="00A16B96" w:rsidRDefault="00A16B96" w:rsidP="00A16B9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Предложение за изпълнението на поръчката, което отговаря на предварително обявените условия на възложителя, съдържа задължително изискуемите елементи към съдържанието, посочени по-горе, и в своята последователност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гарантира навременното и спрямо минималните изисквания на техническата спецификация постигане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цели и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резултати, </w:t>
      </w:r>
      <w:r w:rsidRPr="00A16B96">
        <w:rPr>
          <w:rFonts w:ascii="Times New Roman" w:eastAsia="Times New Roman" w:hAnsi="Times New Roman" w:cs="Times New Roman"/>
          <w:sz w:val="24"/>
          <w:szCs w:val="24"/>
          <w:u w:val="single"/>
        </w:rPr>
        <w:t>и същевременно включва изброените по-долу качествени аспекти, надграждащи техническото предложение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0493">
        <w:rPr>
          <w:rFonts w:ascii="Times New Roman" w:eastAsia="Times New Roman" w:hAnsi="Times New Roman" w:cs="Times New Roman"/>
          <w:b/>
          <w:bCs/>
          <w:sz w:val="24"/>
          <w:szCs w:val="24"/>
        </w:rPr>
        <w:t>ще получи допълнително до 10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>0 точки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показател ТП</w:t>
      </w:r>
      <w:r w:rsidRPr="00A16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съобразно описаните условия:</w:t>
      </w:r>
    </w:p>
    <w:p w14:paraId="7A33C60E" w14:textId="042C67B7" w:rsidR="00A16B96" w:rsidRPr="00A16B96" w:rsidRDefault="00A00368" w:rsidP="00A0036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Качествените аспекти, свързани с предмета на поръчката и допринасящи до по-високата оценка на участника по техническия показател, включват предложения относно предвидените мерки за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гарантиране на качеството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</w:t>
      </w:r>
      <w:r>
        <w:rPr>
          <w:rFonts w:ascii="Times New Roman" w:eastAsia="Times New Roman" w:hAnsi="Times New Roman" w:cs="Times New Roman"/>
          <w:sz w:val="24"/>
          <w:szCs w:val="24"/>
        </w:rPr>
        <w:t>обект</w:t>
      </w:r>
      <w:r w:rsidR="007F186F">
        <w:rPr>
          <w:rFonts w:ascii="Times New Roman" w:eastAsia="Times New Roman" w:hAnsi="Times New Roman" w:cs="Times New Roman"/>
          <w:sz w:val="24"/>
          <w:szCs w:val="24"/>
        </w:rPr>
        <w:t>а, 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7F186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 на договор</w:t>
      </w:r>
      <w:r w:rsidR="007F186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строителство,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с отчитане на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правата и задълженията,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изпълнителят по настоящия договор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Целта на предложените качествени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аспекти на предложението е гарантиране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точното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изпълнени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>е на обект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, като в този смисъл направените предложения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следва да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са насочени към </w:t>
      </w:r>
      <w:r w:rsidR="00531F98">
        <w:rPr>
          <w:rFonts w:ascii="Times New Roman" w:eastAsia="Times New Roman" w:hAnsi="Times New Roman" w:cs="Times New Roman"/>
          <w:sz w:val="24"/>
          <w:szCs w:val="24"/>
        </w:rPr>
        <w:t>коректна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навременна реализация на отделните дейности, свързани с изпълняван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ото строителство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и да осигуряват постигането на реални резултати по отношение качественото изпълнение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>обезпеч</w:t>
      </w:r>
      <w:r w:rsidR="00AF5299">
        <w:rPr>
          <w:rFonts w:ascii="Times New Roman" w:eastAsia="Times New Roman" w:hAnsi="Times New Roman" w:cs="Times New Roman"/>
          <w:sz w:val="24"/>
          <w:szCs w:val="24"/>
        </w:rPr>
        <w:t>аването</w:t>
      </w:r>
      <w:r w:rsidR="00A16B96" w:rsidRPr="00A16B96">
        <w:rPr>
          <w:rFonts w:ascii="Times New Roman" w:eastAsia="Times New Roman" w:hAnsi="Times New Roman" w:cs="Times New Roman"/>
          <w:sz w:val="24"/>
          <w:szCs w:val="24"/>
        </w:rPr>
        <w:t xml:space="preserve"> на целите на настоящата поръчка.</w:t>
      </w:r>
    </w:p>
    <w:p w14:paraId="5B9E8D1A" w14:textId="1143AA45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Всяка предложена мярка за гарантиране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осигуряване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на качеството трябва да </w:t>
      </w:r>
      <w:r>
        <w:rPr>
          <w:rFonts w:ascii="Times New Roman" w:eastAsia="Times New Roman" w:hAnsi="Times New Roman" w:cs="Times New Roman"/>
          <w:sz w:val="24"/>
          <w:szCs w:val="24"/>
        </w:rPr>
        <w:t>е относима към някой от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етапи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на договора за 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строителство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(фаза на изпълнение на </w:t>
      </w:r>
      <w:r w:rsidRPr="002111BC">
        <w:rPr>
          <w:rFonts w:ascii="Times New Roman" w:eastAsia="Times New Roman" w:hAnsi="Times New Roman" w:cs="Times New Roman"/>
          <w:sz w:val="24"/>
          <w:szCs w:val="24"/>
        </w:rPr>
        <w:t>мобилизационни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111BC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>
        <w:rPr>
          <w:rFonts w:ascii="Times New Roman" w:eastAsia="Times New Roman" w:hAnsi="Times New Roman" w:cs="Times New Roman"/>
          <w:sz w:val="24"/>
          <w:szCs w:val="24"/>
        </w:rPr>
        <w:t>, етап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а на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строителство, периода за съобщаване на дефекти,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периода 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след изтичане на </w:t>
      </w:r>
      <w:r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 xml:space="preserve"> за съобщаване на дефекти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да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съдържа едновременно следните компоненти:</w:t>
      </w:r>
    </w:p>
    <w:p w14:paraId="6C97F7E8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1. Предложение относно обхвата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същността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D0E7AD7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осочване на конкретните действия, които ще се извършат при нейното прилагане;</w:t>
      </w:r>
    </w:p>
    <w:p w14:paraId="4F8B51D0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Очаквани резултати от прилагането 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E6BE2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Систематизиран план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прилагане на конкретната мярка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1013E">
        <w:rPr>
          <w:rFonts w:ascii="Times New Roman" w:eastAsia="Times New Roman" w:hAnsi="Times New Roman" w:cs="Times New Roman"/>
          <w:sz w:val="24"/>
          <w:szCs w:val="24"/>
        </w:rPr>
        <w:t xml:space="preserve">посочване на експертите, които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61013E">
        <w:rPr>
          <w:rFonts w:ascii="Times New Roman" w:eastAsia="Times New Roman" w:hAnsi="Times New Roman" w:cs="Times New Roman"/>
          <w:sz w:val="24"/>
          <w:szCs w:val="24"/>
        </w:rPr>
        <w:t>са ангажирани с изпълнение на тези дейности (описание на отделните техни задължения, свързани с дейностите по конкретната мярка, посочване на това кой експерт кои от дейностите ще изпълнява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00D9657" w14:textId="77777777" w:rsidR="00857DDD" w:rsidRPr="00A16B96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Действия по контрол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изпълнението на представения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прилагане на конкретната мярка с посочване 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на експерта, който ще извършва контрол върху изпълнението на тези дейности по мярката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D6E41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. Действия в случаите на констатирано отклонение от плана за прилагане на конкретната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мярка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8BADFA" w14:textId="77777777" w:rsidR="00857DDD" w:rsidRDefault="00857DDD" w:rsidP="00857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</w:t>
      </w:r>
      <w:r w:rsidRPr="00AF5299">
        <w:rPr>
          <w:rFonts w:ascii="Times New Roman" w:eastAsia="Times New Roman" w:hAnsi="Times New Roman" w:cs="Times New Roman"/>
          <w:sz w:val="24"/>
          <w:szCs w:val="24"/>
        </w:rPr>
        <w:t>писание на очакваното въздействие и резултат на конкретната мярка към изпълнението на договора като цяло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1CEE9" w14:textId="395010F1" w:rsidR="00A16B96" w:rsidRPr="00A16B96" w:rsidRDefault="00A16B96" w:rsidP="00AF52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Всички предложени мерки е необходимо да отчитат спецификата на 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>изпълняван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 xml:space="preserve"> договор за строителство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и да са насочени към конкретни</w:t>
      </w:r>
      <w:r w:rsidR="00415E3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строеж, а не да са мерки от общ характер, т.е. да са приложими към всеки 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>вид обект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 xml:space="preserve"> без значение от негов</w:t>
      </w:r>
      <w:r w:rsidR="0061013E">
        <w:rPr>
          <w:rFonts w:ascii="Times New Roman" w:eastAsia="Times New Roman" w:hAnsi="Times New Roman" w:cs="Times New Roman"/>
          <w:sz w:val="24"/>
          <w:szCs w:val="24"/>
        </w:rPr>
        <w:t xml:space="preserve">ите </w:t>
      </w:r>
      <w:r w:rsidRPr="00A16B96">
        <w:rPr>
          <w:rFonts w:ascii="Times New Roman" w:eastAsia="Times New Roman" w:hAnsi="Times New Roman" w:cs="Times New Roman"/>
          <w:sz w:val="24"/>
          <w:szCs w:val="24"/>
        </w:rPr>
        <w:t>специфични особености.</w:t>
      </w:r>
    </w:p>
    <w:p w14:paraId="50943B78" w14:textId="5D036B8B" w:rsidR="00A16B96" w:rsidRDefault="0061013E" w:rsidP="0061013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(ТП) ще се определя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четиристепенна скала за оценка, като в зависимост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липсата или наличието на качествени аспекти към предложението, съответният участник ще бъде оценяван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съответно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DD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035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035E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="00857D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035E" w:rsidRPr="0054035E">
        <w:rPr>
          <w:rFonts w:ascii="Times New Roman" w:eastAsia="Times New Roman" w:hAnsi="Times New Roman" w:cs="Times New Roman"/>
          <w:sz w:val="24"/>
          <w:szCs w:val="24"/>
        </w:rPr>
        <w:t xml:space="preserve">0, 60, 80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или 10</w:t>
      </w:r>
      <w:r w:rsidRPr="007C522B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FF594E" w14:textId="2096E460" w:rsidR="00674105" w:rsidRDefault="00674105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2B699C" w:rsidRPr="002B699C" w14:paraId="48676121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C7B3C7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48DA51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14EC4D8A" w14:textId="77777777" w:rsidR="002B699C" w:rsidRPr="002B699C" w:rsidRDefault="002B699C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2B699C" w:rsidRPr="002B699C" w14:paraId="185E244A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224A" w14:textId="51E93B85" w:rsidR="0061013E" w:rsidRPr="002B699C" w:rsidRDefault="00857DDD" w:rsidP="0054035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Предложението на участника по отношение на 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подход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начините, по които ще бъдат изпълнени дейностите по оценка на съответствието на инвестиционните проекти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7C522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FB74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="00415E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посочени по-горе,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без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същото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да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включва в допълнение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 изпълнение на обекта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или не се установ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ява наличието на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 мярка, която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да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отразява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същата да съдържа 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61013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D29" w14:textId="630DF03A" w:rsidR="002B699C" w:rsidRPr="002B699C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C5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483E6D74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88EF" w14:textId="58906E3C" w:rsidR="002B699C" w:rsidRPr="00D83508" w:rsidRDefault="00824390" w:rsidP="00D8350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подхода и начините, по които ще бъдат изпълнени дейностите по оценка на съответствието на 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147997"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 w:rsid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="00415E35">
              <w:t xml:space="preserve"> </w:t>
            </w:r>
            <w:r w:rsidR="00415E35" w:rsidRPr="00415E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посочени по-горе, </w:t>
            </w:r>
            <w:r w:rsid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47997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 w:rsid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="002B699C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05258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2B699C"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или ДВЕ предложени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D83508"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 w:rsid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8051" w14:textId="192AFBB8" w:rsidR="002B699C" w:rsidRPr="002B699C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052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77C8E7A6" w14:textId="77777777" w:rsidTr="0030525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915" w14:textId="3FACF042" w:rsidR="002B699C" w:rsidRPr="002B699C" w:rsidRDefault="00D83508" w:rsidP="0030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подхода и начините, по които ще бъдат изпълнени дейностите по оценка на съответствието на 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="00415E35">
              <w:t xml:space="preserve"> </w:t>
            </w:r>
            <w:r w:rsidR="00415E35" w:rsidRPr="00415E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посочени по-горе,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ТРИ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или ЧЕТИРИ предложени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3D3" w14:textId="75216D77" w:rsidR="002B699C" w:rsidRPr="00D83508" w:rsidRDefault="00857DDD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  <w:r w:rsidR="00D8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99C" w:rsidRPr="002B699C" w14:paraId="7117AB26" w14:textId="77777777" w:rsidTr="00412D45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96C" w14:textId="30E348EA" w:rsidR="002B699C" w:rsidRPr="002B699C" w:rsidRDefault="00D83508" w:rsidP="0030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2439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подхода и начините, по които ще бъдат изпълнени дейностите по оценка на съответствието на инвестиционните проекти, упражняване на строителен надзор и изпълняване на функциите на Инженер по ФИДИК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="00415E35">
              <w:t xml:space="preserve"> </w:t>
            </w:r>
            <w:r w:rsidR="00415E3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посочени по-горе,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C587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ПЕТ или повече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предложени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мерки за гарантиране на качеството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 изпълнение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обекта, които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отразява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конкретни характерни специфики на предмета и обхвата на настоящата поръчка и едновременно с това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същите съдържат 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всички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горе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описани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Pr="00D8350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компонента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EB1D" w14:textId="72FFDABF" w:rsidR="002B699C" w:rsidRPr="002B699C" w:rsidRDefault="008B0493" w:rsidP="002B699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2B699C"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4236301" w14:textId="0A63268F" w:rsidR="006849F2" w:rsidRPr="006849F2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– Оценява се предложена от участника обща крайна цена за изпълнение на поръчката. </w:t>
      </w:r>
      <w:r w:rsidR="008B0493">
        <w:rPr>
          <w:rFonts w:ascii="Times New Roman" w:eastAsia="Times New Roman" w:hAnsi="Times New Roman" w:cs="Times New Roman"/>
          <w:sz w:val="24"/>
          <w:szCs w:val="24"/>
        </w:rPr>
        <w:t>Максимално възможната оценка е 10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="008B0493">
        <w:rPr>
          <w:rFonts w:ascii="Times New Roman" w:eastAsia="Times New Roman" w:hAnsi="Times New Roman" w:cs="Times New Roman"/>
          <w:b/>
          <w:sz w:val="24"/>
          <w:szCs w:val="24"/>
        </w:rPr>
        <w:t>ФП = (Цmin / Цi) х 10</w:t>
      </w: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204C3421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sz w:val="24"/>
          <w:szCs w:val="24"/>
        </w:rPr>
        <w:tab/>
      </w: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</w:t>
      </w:r>
      <w:r w:rsidR="00C358AD">
        <w:rPr>
          <w:rFonts w:ascii="Times New Roman" w:eastAsia="Times New Roman" w:hAnsi="Times New Roman" w:cs="Times New Roman"/>
          <w:sz w:val="24"/>
          <w:szCs w:val="24"/>
        </w:rPr>
        <w:t xml:space="preserve"> обща цена 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>за изпълнение на поръчката</w:t>
      </w:r>
      <w:r w:rsidR="00C358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2678892B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поръчката.</w:t>
      </w:r>
    </w:p>
    <w:p w14:paraId="3908DCA5" w14:textId="7C4E5989" w:rsidR="006849F2" w:rsidRPr="008B0493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</w:t>
      </w:r>
      <w:r w:rsidR="008E56CD"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изпълнение на </w:t>
      </w:r>
      <w:r w:rsidR="00426B56" w:rsidRPr="00426B5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поръчката като цяло и/или по някой от отделните обекти</w:t>
      </w:r>
      <w:r w:rsidR="008E56CD" w:rsidRPr="008B049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0493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</w:t>
      </w: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5472F345" w14:textId="77777777" w:rsidR="0059656A" w:rsidRDefault="0059656A" w:rsidP="00C94B1E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E32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1C34" w14:textId="77777777" w:rsidR="003B3280" w:rsidRDefault="003B3280" w:rsidP="00182991">
      <w:pPr>
        <w:spacing w:after="0" w:line="240" w:lineRule="auto"/>
      </w:pPr>
      <w:r>
        <w:separator/>
      </w:r>
    </w:p>
  </w:endnote>
  <w:endnote w:type="continuationSeparator" w:id="0">
    <w:p w14:paraId="21052D80" w14:textId="77777777" w:rsidR="003B3280" w:rsidRDefault="003B3280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0F4C" w14:textId="77777777" w:rsidR="00E6191C" w:rsidRDefault="00E61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7CCA84F4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415E35" w:rsidRPr="00415E35">
            <w:rPr>
              <w:noProof/>
              <w:color w:val="FFFFFF" w:themeColor="background1"/>
            </w:rPr>
            <w:t>5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700A" w14:textId="77777777" w:rsidR="00E6191C" w:rsidRDefault="00E61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7391" w14:textId="77777777" w:rsidR="003B3280" w:rsidRDefault="003B3280" w:rsidP="00182991">
      <w:pPr>
        <w:spacing w:after="0" w:line="240" w:lineRule="auto"/>
      </w:pPr>
      <w:r>
        <w:separator/>
      </w:r>
    </w:p>
  </w:footnote>
  <w:footnote w:type="continuationSeparator" w:id="0">
    <w:p w14:paraId="5C92ECF7" w14:textId="77777777" w:rsidR="003B3280" w:rsidRDefault="003B3280" w:rsidP="0018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732F" w14:textId="77777777" w:rsidR="00E6191C" w:rsidRDefault="00E61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4F855" w14:textId="77777777" w:rsidR="00E6191C" w:rsidRDefault="00E61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053D7"/>
    <w:multiLevelType w:val="hybridMultilevel"/>
    <w:tmpl w:val="3ECEE060"/>
    <w:lvl w:ilvl="0" w:tplc="185255C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24"/>
  </w:num>
  <w:num w:numId="11">
    <w:abstractNumId w:val="25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23"/>
  </w:num>
  <w:num w:numId="17">
    <w:abstractNumId w:val="18"/>
  </w:num>
  <w:num w:numId="18">
    <w:abstractNumId w:val="4"/>
  </w:num>
  <w:num w:numId="19">
    <w:abstractNumId w:val="22"/>
  </w:num>
  <w:num w:numId="20">
    <w:abstractNumId w:val="19"/>
  </w:num>
  <w:num w:numId="21">
    <w:abstractNumId w:val="20"/>
  </w:num>
  <w:num w:numId="22">
    <w:abstractNumId w:val="1"/>
  </w:num>
  <w:num w:numId="23">
    <w:abstractNumId w:val="5"/>
  </w:num>
  <w:num w:numId="24">
    <w:abstractNumId w:val="7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1"/>
    <w:rsid w:val="00000E91"/>
    <w:rsid w:val="000030DA"/>
    <w:rsid w:val="0000467C"/>
    <w:rsid w:val="00006437"/>
    <w:rsid w:val="00013504"/>
    <w:rsid w:val="000218D0"/>
    <w:rsid w:val="000258AB"/>
    <w:rsid w:val="000266CC"/>
    <w:rsid w:val="000305DE"/>
    <w:rsid w:val="00032025"/>
    <w:rsid w:val="0003348F"/>
    <w:rsid w:val="00034628"/>
    <w:rsid w:val="00064604"/>
    <w:rsid w:val="00082E80"/>
    <w:rsid w:val="00087608"/>
    <w:rsid w:val="000A7DEB"/>
    <w:rsid w:val="000B6840"/>
    <w:rsid w:val="000B6BEE"/>
    <w:rsid w:val="000C22EE"/>
    <w:rsid w:val="000C44A1"/>
    <w:rsid w:val="000C5A32"/>
    <w:rsid w:val="000D7826"/>
    <w:rsid w:val="000F2E2A"/>
    <w:rsid w:val="000F78BD"/>
    <w:rsid w:val="001061FF"/>
    <w:rsid w:val="00110122"/>
    <w:rsid w:val="00120175"/>
    <w:rsid w:val="00125176"/>
    <w:rsid w:val="00133A04"/>
    <w:rsid w:val="001477B5"/>
    <w:rsid w:val="00147997"/>
    <w:rsid w:val="00154250"/>
    <w:rsid w:val="001543A4"/>
    <w:rsid w:val="00174030"/>
    <w:rsid w:val="00180E88"/>
    <w:rsid w:val="00182991"/>
    <w:rsid w:val="001859CC"/>
    <w:rsid w:val="001955C3"/>
    <w:rsid w:val="001A24B3"/>
    <w:rsid w:val="001A370D"/>
    <w:rsid w:val="001B1DF6"/>
    <w:rsid w:val="001B498A"/>
    <w:rsid w:val="001B5D10"/>
    <w:rsid w:val="001D79D9"/>
    <w:rsid w:val="001E07F0"/>
    <w:rsid w:val="001E15B8"/>
    <w:rsid w:val="001F3BC6"/>
    <w:rsid w:val="00205C04"/>
    <w:rsid w:val="00210D24"/>
    <w:rsid w:val="002111BC"/>
    <w:rsid w:val="002125F1"/>
    <w:rsid w:val="00223392"/>
    <w:rsid w:val="0022589A"/>
    <w:rsid w:val="00232B9F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439"/>
    <w:rsid w:val="002C265C"/>
    <w:rsid w:val="002C3F95"/>
    <w:rsid w:val="002D2CB2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61C73"/>
    <w:rsid w:val="00365B95"/>
    <w:rsid w:val="00380146"/>
    <w:rsid w:val="00385648"/>
    <w:rsid w:val="003875C0"/>
    <w:rsid w:val="003918D5"/>
    <w:rsid w:val="003A53BA"/>
    <w:rsid w:val="003B3280"/>
    <w:rsid w:val="003B3CDB"/>
    <w:rsid w:val="003C5878"/>
    <w:rsid w:val="003C5964"/>
    <w:rsid w:val="003D4449"/>
    <w:rsid w:val="003E4AAF"/>
    <w:rsid w:val="00401A4A"/>
    <w:rsid w:val="00411955"/>
    <w:rsid w:val="004156BC"/>
    <w:rsid w:val="00415E35"/>
    <w:rsid w:val="00422B2D"/>
    <w:rsid w:val="00426B56"/>
    <w:rsid w:val="00437769"/>
    <w:rsid w:val="00465C06"/>
    <w:rsid w:val="0047044E"/>
    <w:rsid w:val="00470FC4"/>
    <w:rsid w:val="00471BB7"/>
    <w:rsid w:val="004840EA"/>
    <w:rsid w:val="0049316A"/>
    <w:rsid w:val="00496F75"/>
    <w:rsid w:val="004B2600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20CE8"/>
    <w:rsid w:val="00527D2E"/>
    <w:rsid w:val="00530548"/>
    <w:rsid w:val="00531F98"/>
    <w:rsid w:val="0054035E"/>
    <w:rsid w:val="00544692"/>
    <w:rsid w:val="00546D4C"/>
    <w:rsid w:val="00550A48"/>
    <w:rsid w:val="00551A77"/>
    <w:rsid w:val="005565E8"/>
    <w:rsid w:val="005646CE"/>
    <w:rsid w:val="00586018"/>
    <w:rsid w:val="00595409"/>
    <w:rsid w:val="0059656A"/>
    <w:rsid w:val="00597B29"/>
    <w:rsid w:val="005A3CF5"/>
    <w:rsid w:val="005A6C0F"/>
    <w:rsid w:val="005B097D"/>
    <w:rsid w:val="005C7C52"/>
    <w:rsid w:val="005D1D4A"/>
    <w:rsid w:val="005F2F93"/>
    <w:rsid w:val="00605766"/>
    <w:rsid w:val="0061013E"/>
    <w:rsid w:val="00615412"/>
    <w:rsid w:val="0062744F"/>
    <w:rsid w:val="00645426"/>
    <w:rsid w:val="0064681F"/>
    <w:rsid w:val="00646B4C"/>
    <w:rsid w:val="00650F54"/>
    <w:rsid w:val="006605F2"/>
    <w:rsid w:val="00662F38"/>
    <w:rsid w:val="00664499"/>
    <w:rsid w:val="00674105"/>
    <w:rsid w:val="006779A8"/>
    <w:rsid w:val="006849F2"/>
    <w:rsid w:val="00686401"/>
    <w:rsid w:val="006951F8"/>
    <w:rsid w:val="00696995"/>
    <w:rsid w:val="006A2DC0"/>
    <w:rsid w:val="006A40F5"/>
    <w:rsid w:val="006A574A"/>
    <w:rsid w:val="006A6CC9"/>
    <w:rsid w:val="006B23AA"/>
    <w:rsid w:val="006D1B26"/>
    <w:rsid w:val="006E3916"/>
    <w:rsid w:val="00703DD6"/>
    <w:rsid w:val="00714797"/>
    <w:rsid w:val="00722211"/>
    <w:rsid w:val="00725792"/>
    <w:rsid w:val="007261ED"/>
    <w:rsid w:val="0072782B"/>
    <w:rsid w:val="00732266"/>
    <w:rsid w:val="00735F62"/>
    <w:rsid w:val="00750AFE"/>
    <w:rsid w:val="00752DB6"/>
    <w:rsid w:val="00752DDD"/>
    <w:rsid w:val="007549F9"/>
    <w:rsid w:val="00757312"/>
    <w:rsid w:val="00770F6B"/>
    <w:rsid w:val="00770FFC"/>
    <w:rsid w:val="00782A10"/>
    <w:rsid w:val="00791A4E"/>
    <w:rsid w:val="007A1CEB"/>
    <w:rsid w:val="007A28AF"/>
    <w:rsid w:val="007B0317"/>
    <w:rsid w:val="007B39EE"/>
    <w:rsid w:val="007C04B8"/>
    <w:rsid w:val="007C4C82"/>
    <w:rsid w:val="007C522B"/>
    <w:rsid w:val="007F0D7F"/>
    <w:rsid w:val="007F186F"/>
    <w:rsid w:val="0082126D"/>
    <w:rsid w:val="00824390"/>
    <w:rsid w:val="00825B36"/>
    <w:rsid w:val="008358F0"/>
    <w:rsid w:val="00841B21"/>
    <w:rsid w:val="00843498"/>
    <w:rsid w:val="00846D4B"/>
    <w:rsid w:val="00857DDD"/>
    <w:rsid w:val="00882B06"/>
    <w:rsid w:val="008870E7"/>
    <w:rsid w:val="008907CE"/>
    <w:rsid w:val="00894509"/>
    <w:rsid w:val="00895C41"/>
    <w:rsid w:val="008A65E7"/>
    <w:rsid w:val="008A6BDC"/>
    <w:rsid w:val="008B01A6"/>
    <w:rsid w:val="008B0493"/>
    <w:rsid w:val="008B5A96"/>
    <w:rsid w:val="008B7AE2"/>
    <w:rsid w:val="008C1CA9"/>
    <w:rsid w:val="008D1071"/>
    <w:rsid w:val="008D68C8"/>
    <w:rsid w:val="008E0CC1"/>
    <w:rsid w:val="008E56CD"/>
    <w:rsid w:val="009118C2"/>
    <w:rsid w:val="00913183"/>
    <w:rsid w:val="0091700F"/>
    <w:rsid w:val="00921125"/>
    <w:rsid w:val="009247D9"/>
    <w:rsid w:val="00932980"/>
    <w:rsid w:val="00935E5E"/>
    <w:rsid w:val="009369E7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368"/>
    <w:rsid w:val="00A00A32"/>
    <w:rsid w:val="00A1249A"/>
    <w:rsid w:val="00A16B96"/>
    <w:rsid w:val="00A20DBC"/>
    <w:rsid w:val="00A23112"/>
    <w:rsid w:val="00A2620A"/>
    <w:rsid w:val="00A26FB4"/>
    <w:rsid w:val="00A30D60"/>
    <w:rsid w:val="00A354E3"/>
    <w:rsid w:val="00A55BBF"/>
    <w:rsid w:val="00A56DEB"/>
    <w:rsid w:val="00A6036B"/>
    <w:rsid w:val="00A630C6"/>
    <w:rsid w:val="00A64BD9"/>
    <w:rsid w:val="00A77416"/>
    <w:rsid w:val="00A77D27"/>
    <w:rsid w:val="00A8661D"/>
    <w:rsid w:val="00A8707E"/>
    <w:rsid w:val="00A94A36"/>
    <w:rsid w:val="00AB05F3"/>
    <w:rsid w:val="00AD4391"/>
    <w:rsid w:val="00AD5AF4"/>
    <w:rsid w:val="00AE481D"/>
    <w:rsid w:val="00AF3239"/>
    <w:rsid w:val="00AF5299"/>
    <w:rsid w:val="00B06670"/>
    <w:rsid w:val="00B27591"/>
    <w:rsid w:val="00B411CD"/>
    <w:rsid w:val="00B53E73"/>
    <w:rsid w:val="00B56EE2"/>
    <w:rsid w:val="00B670F8"/>
    <w:rsid w:val="00BA1279"/>
    <w:rsid w:val="00BA6B71"/>
    <w:rsid w:val="00BB21C1"/>
    <w:rsid w:val="00BB2C93"/>
    <w:rsid w:val="00BB3A72"/>
    <w:rsid w:val="00BC147A"/>
    <w:rsid w:val="00BC1E61"/>
    <w:rsid w:val="00BC5CC9"/>
    <w:rsid w:val="00BD4F3F"/>
    <w:rsid w:val="00C10E46"/>
    <w:rsid w:val="00C17EF4"/>
    <w:rsid w:val="00C22E7C"/>
    <w:rsid w:val="00C358AD"/>
    <w:rsid w:val="00C4133C"/>
    <w:rsid w:val="00C414E4"/>
    <w:rsid w:val="00C51D43"/>
    <w:rsid w:val="00C569B0"/>
    <w:rsid w:val="00C62BE9"/>
    <w:rsid w:val="00C65BA7"/>
    <w:rsid w:val="00C75FF2"/>
    <w:rsid w:val="00C76D15"/>
    <w:rsid w:val="00C814E3"/>
    <w:rsid w:val="00C81960"/>
    <w:rsid w:val="00C93D15"/>
    <w:rsid w:val="00C94B1E"/>
    <w:rsid w:val="00CA2C18"/>
    <w:rsid w:val="00CB366F"/>
    <w:rsid w:val="00CD2FC8"/>
    <w:rsid w:val="00CF004B"/>
    <w:rsid w:val="00CF15A4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83508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23F0"/>
    <w:rsid w:val="00E346D8"/>
    <w:rsid w:val="00E34ACF"/>
    <w:rsid w:val="00E3618E"/>
    <w:rsid w:val="00E36F46"/>
    <w:rsid w:val="00E6191C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F3552"/>
    <w:rsid w:val="00EF3C52"/>
    <w:rsid w:val="00EF45D4"/>
    <w:rsid w:val="00EF5882"/>
    <w:rsid w:val="00F008F4"/>
    <w:rsid w:val="00F15A66"/>
    <w:rsid w:val="00F20392"/>
    <w:rsid w:val="00F422EA"/>
    <w:rsid w:val="00F55620"/>
    <w:rsid w:val="00F66BFA"/>
    <w:rsid w:val="00F8143C"/>
    <w:rsid w:val="00F84C24"/>
    <w:rsid w:val="00F874F4"/>
    <w:rsid w:val="00F91520"/>
    <w:rsid w:val="00F951DA"/>
    <w:rsid w:val="00FA313F"/>
    <w:rsid w:val="00FB54AA"/>
    <w:rsid w:val="00FB74DE"/>
    <w:rsid w:val="00FC21F6"/>
    <w:rsid w:val="00FC740D"/>
    <w:rsid w:val="00FD5C62"/>
    <w:rsid w:val="00FD637D"/>
    <w:rsid w:val="00FE31AE"/>
    <w:rsid w:val="00FE454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2020-03-27T09:04:00Z</dcterms:created>
  <dcterms:modified xsi:type="dcterms:W3CDTF">2020-03-27T10:31:00Z</dcterms:modified>
</cp:coreProperties>
</file>